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Microsoft YaHei" w:hAnsi="Microsoft YaHei" w:eastAsia="Microsoft YaHei"/>
          <w:b/>
          <w:color w:val="0B5968"/>
          <w:sz w:val="40"/>
        </w:rPr>
        <w:t>实验实训方案</w:t>
      </w:r>
    </w:p>
    <w:p>
      <w:pPr>
        <w:spacing w:after="240"/>
        <w:jc w:val="center"/>
      </w:pPr>
      <w:r>
        <w:rPr>
          <w:rFonts w:ascii="Microsoft YaHei" w:hAnsi="Microsoft YaHei" w:eastAsia="Microsoft YaHei"/>
          <w:b/>
          <w:color w:val="4A6972"/>
          <w:sz w:val="24"/>
        </w:rPr>
        <w:t>案例 03  ·  ERA5-Land热浪识别与空间分布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447"/>
        <w:gridCol w:w="2447"/>
        <w:gridCol w:w="2447"/>
        <w:gridCol w:w="2447"/>
      </w:tblGrid>
      <w:tr>
        <w:tc>
          <w:tcPr>
            <w:tcW w:type="dxa" w:w="2447"/>
            <w:vAlign w:val="center"/>
            <w:shd w:fill="147D8A"/>
          </w:tcPr>
          <w:p>
            <w:pPr>
              <w:spacing w:after="0"/>
            </w:pPr>
            <w:r>
              <w:rPr>
                <w:b/>
                <w:color w:val="FFFFFF"/>
              </w:rPr>
            </w:r>
            <w:r>
              <w:rPr>
                <w:rFonts w:ascii="Microsoft YaHei" w:hAnsi="Microsoft YaHei" w:eastAsia="Microsoft YaHei"/>
                <w:b/>
                <w:color w:val="FFFFFF"/>
                <w:sz w:val="18"/>
              </w:rPr>
              <w:t>案例编号</w:t>
            </w:r>
          </w:p>
        </w:tc>
        <w:tc>
          <w:tcPr>
            <w:tcW w:type="dxa" w:w="2447"/>
            <w:vAlign w:val="center"/>
            <w:shd w:fill="147D8A"/>
          </w:tcPr>
          <w:p>
            <w:pPr>
              <w:spacing w:after="0"/>
            </w:pPr>
            <w:r>
              <w:rPr>
                <w:b/>
                <w:color w:val="FFFFFF"/>
              </w:rPr>
            </w:r>
            <w:r>
              <w:rPr>
                <w:rFonts w:ascii="Microsoft YaHei" w:hAnsi="Microsoft YaHei" w:eastAsia="Microsoft YaHei"/>
                <w:b/>
                <w:color w:val="FFFFFF"/>
                <w:sz w:val="18"/>
              </w:rPr>
              <w:t>难度</w:t>
            </w:r>
          </w:p>
        </w:tc>
        <w:tc>
          <w:tcPr>
            <w:tcW w:type="dxa" w:w="2447"/>
            <w:vAlign w:val="center"/>
            <w:shd w:fill="147D8A"/>
          </w:tcPr>
          <w:p>
            <w:pPr>
              <w:spacing w:after="0"/>
            </w:pPr>
            <w:r>
              <w:rPr>
                <w:b/>
                <w:color w:val="FFFFFF"/>
              </w:rPr>
            </w:r>
            <w:r>
              <w:rPr>
                <w:rFonts w:ascii="Microsoft YaHei" w:hAnsi="Microsoft YaHei" w:eastAsia="Microsoft YaHei"/>
                <w:b/>
                <w:color w:val="FFFFFF"/>
                <w:sz w:val="18"/>
              </w:rPr>
              <w:t>学时</w:t>
            </w:r>
          </w:p>
        </w:tc>
        <w:tc>
          <w:tcPr>
            <w:tcW w:type="dxa" w:w="2447"/>
            <w:vAlign w:val="center"/>
            <w:shd w:fill="147D8A"/>
          </w:tcPr>
          <w:p>
            <w:pPr>
              <w:spacing w:after="0"/>
            </w:pPr>
            <w:r>
              <w:rPr>
                <w:b/>
                <w:color w:val="FFFFFF"/>
              </w:rPr>
            </w:r>
            <w:r>
              <w:rPr>
                <w:rFonts w:ascii="Microsoft YaHei" w:hAnsi="Microsoft YaHei" w:eastAsia="Microsoft YaHei"/>
                <w:b/>
                <w:color w:val="FFFFFF"/>
                <w:sz w:val="18"/>
              </w:rPr>
              <w:t>交付格式</w:t>
            </w:r>
          </w:p>
        </w:tc>
      </w:tr>
      <w:tr>
        <w:tc>
          <w:tcPr>
            <w:tcW w:type="dxa" w:w="2447"/>
            <w:vAlign w:val="center"/>
            <w:shd w:fill="F2F8F9"/>
          </w:tcPr>
          <w:p>
            <w:pPr>
              <w:spacing w:after="0"/>
            </w:pPr>
            <w:r/>
            <w:r>
              <w:rPr>
                <w:rFonts w:ascii="Microsoft YaHei" w:hAnsi="Microsoft YaHei" w:eastAsia="Microsoft YaHei"/>
                <w:b w:val="0"/>
                <w:color w:val="1F4E5F"/>
                <w:sz w:val="18"/>
              </w:rPr>
              <w:t>03</w:t>
            </w:r>
          </w:p>
        </w:tc>
        <w:tc>
          <w:tcPr>
            <w:tcW w:type="dxa" w:w="2447"/>
            <w:vAlign w:val="center"/>
            <w:shd w:fill="F2F8F9"/>
          </w:tcPr>
          <w:p>
            <w:pPr>
              <w:spacing w:after="0"/>
            </w:pPr>
            <w:r/>
            <w:r>
              <w:rPr>
                <w:rFonts w:ascii="Microsoft YaHei" w:hAnsi="Microsoft YaHei" w:eastAsia="Microsoft YaHei"/>
                <w:b w:val="0"/>
                <w:color w:val="1F4E5F"/>
                <w:sz w:val="18"/>
              </w:rPr>
              <w:t>进阶</w:t>
            </w:r>
          </w:p>
        </w:tc>
        <w:tc>
          <w:tcPr>
            <w:tcW w:type="dxa" w:w="2447"/>
            <w:vAlign w:val="center"/>
            <w:shd w:fill="F2F8F9"/>
          </w:tcPr>
          <w:p>
            <w:pPr>
              <w:spacing w:after="0"/>
            </w:pPr>
            <w:r/>
            <w:r>
              <w:rPr>
                <w:rFonts w:ascii="Microsoft YaHei" w:hAnsi="Microsoft YaHei" w:eastAsia="Microsoft YaHei"/>
                <w:b w:val="0"/>
                <w:color w:val="1F4E5F"/>
                <w:sz w:val="18"/>
              </w:rPr>
              <w:t>6</w:t>
            </w:r>
          </w:p>
        </w:tc>
        <w:tc>
          <w:tcPr>
            <w:tcW w:type="dxa" w:w="2447"/>
            <w:vAlign w:val="center"/>
            <w:shd w:fill="F2F8F9"/>
          </w:tcPr>
          <w:p>
            <w:pPr>
              <w:spacing w:after="0"/>
            </w:pPr>
            <w:r/>
            <w:r>
              <w:rPr>
                <w:rFonts w:ascii="Microsoft YaHei" w:hAnsi="Microsoft YaHei" w:eastAsia="Microsoft YaHei"/>
                <w:b w:val="0"/>
                <w:color w:val="1F4E5F"/>
                <w:sz w:val="18"/>
              </w:rPr>
              <w:t>可编辑 DOCX</w:t>
            </w:r>
          </w:p>
        </w:tc>
      </w:tr>
    </w:tbl>
    <w:p>
      <w:pPr>
        <w:spacing w:line="288" w:lineRule="auto" w:after="100"/>
      </w:pPr>
      <w:r>
        <w:rPr>
          <w:rFonts w:ascii="Microsoft YaHei" w:hAnsi="Microsoft YaHei" w:eastAsia="Microsoft YaHei"/>
          <w:b w:val="0"/>
          <w:color w:val="222222"/>
          <w:sz w:val="21"/>
        </w:rPr>
        <w:t>使用说明：本文件为实验实训方案的可编辑 Word 版本；Notebook、数据说明和代码仍在平台对应案例页提供下载。</w:t>
      </w:r>
    </w:p>
    <w:p>
      <w:pPr>
        <w:pStyle w:val="Heading2"/>
        <w:keepNext/>
        <w:spacing w:before="200" w:after="100"/>
      </w:pPr>
      <w:r>
        <w:rPr>
          <w:rFonts w:ascii="Microsoft YaHei" w:hAnsi="Microsoft YaHei" w:eastAsia="Microsoft YaHei"/>
          <w:b/>
          <w:color w:val="1F4250"/>
          <w:sz w:val="26"/>
        </w:rPr>
        <w:t>实训问题</w:t>
      </w:r>
    </w:p>
    <w:p>
      <w:pPr>
        <w:spacing w:line="288" w:lineRule="auto" w:after="100"/>
      </w:pPr>
      <w:r>
        <w:rPr>
          <w:rFonts w:ascii="Microsoft YaHei" w:hAnsi="Microsoft YaHei" w:eastAsia="Microsoft YaHei"/>
          <w:b w:val="0"/>
          <w:color w:val="222222"/>
          <w:sz w:val="21"/>
        </w:rPr>
        <w:t>在合成日最高温序列中，热浪日数和最长连续热浪如何按网格分布？改变阈值后结果是否稳定？</w:t>
      </w:r>
    </w:p>
    <w:p>
      <w:pPr>
        <w:pStyle w:val="Heading2"/>
        <w:keepNext/>
        <w:spacing w:before="200" w:after="100"/>
      </w:pPr>
      <w:r>
        <w:rPr>
          <w:rFonts w:ascii="Microsoft YaHei" w:hAnsi="Microsoft YaHei" w:eastAsia="Microsoft YaHei"/>
          <w:b/>
          <w:color w:val="1F4250"/>
          <w:sz w:val="26"/>
        </w:rPr>
        <w:t>实训目标</w:t>
      </w:r>
    </w:p>
    <w:p>
      <w:pPr>
        <w:spacing w:line="288" w:lineRule="auto" w:after="100"/>
      </w:pPr>
      <w:r>
        <w:rPr>
          <w:rFonts w:ascii="Microsoft YaHei" w:hAnsi="Microsoft YaHei" w:eastAsia="Microsoft YaHei"/>
          <w:b w:val="0"/>
          <w:color w:val="222222"/>
          <w:sz w:val="21"/>
        </w:rPr>
        <w:t>完成数据状态核对、Notebook 操作、案例核心算法、图件检查和结果边界说明；能将结论逐项对应到代码输出与数据证据。</w:t>
      </w:r>
    </w:p>
    <w:p>
      <w:pPr>
        <w:pStyle w:val="Heading2"/>
        <w:keepNext/>
        <w:spacing w:before="200" w:after="100"/>
      </w:pPr>
      <w:r>
        <w:rPr>
          <w:rFonts w:ascii="Microsoft YaHei" w:hAnsi="Microsoft YaHei" w:eastAsia="Microsoft YaHei"/>
          <w:b/>
          <w:color w:val="1F4250"/>
          <w:sz w:val="26"/>
        </w:rPr>
        <w:t>数据与前置条件</w:t>
      </w:r>
    </w:p>
    <w:p>
      <w:pPr>
        <w:pStyle w:val="ListBullet"/>
        <w:spacing w:after="60"/>
        <w:ind w:left="369" w:hanging="170"/>
      </w:pPr>
      <w:r>
        <w:rPr>
          <w:rFonts w:ascii="Microsoft YaHei" w:hAnsi="Microsoft YaHei" w:eastAsia="Microsoft YaHei"/>
          <w:b/>
          <w:color w:val="222222"/>
          <w:sz w:val="21"/>
        </w:rPr>
        <w:t>数据/产品：</w:t>
      </w:r>
      <w:r>
        <w:rPr>
          <w:rFonts w:ascii="Microsoft YaHei" w:hAnsi="Microsoft YaHei" w:eastAsia="Microsoft YaHei"/>
          <w:b w:val="0"/>
          <w:color w:val="222222"/>
          <w:sz w:val="21"/>
        </w:rPr>
        <w:t>ERA5-Land</w:t>
      </w:r>
    </w:p>
    <w:p>
      <w:pPr>
        <w:pStyle w:val="ListBullet"/>
        <w:spacing w:after="60"/>
        <w:ind w:left="369" w:hanging="170"/>
      </w:pPr>
      <w:r>
        <w:rPr>
          <w:rFonts w:ascii="Microsoft YaHei" w:hAnsi="Microsoft YaHei" w:eastAsia="Microsoft YaHei"/>
          <w:b/>
          <w:color w:val="222222"/>
          <w:sz w:val="21"/>
        </w:rPr>
        <w:t>官方入口：</w:t>
      </w:r>
      <w:r>
        <w:rPr>
          <w:rFonts w:ascii="Microsoft YaHei" w:hAnsi="Microsoft YaHei" w:eastAsia="Microsoft YaHei"/>
          <w:b w:val="0"/>
          <w:color w:val="222222"/>
          <w:sz w:val="21"/>
        </w:rPr>
        <w:t>https://cds.climate.copernicus.eu/</w:t>
      </w:r>
    </w:p>
    <w:p>
      <w:pPr>
        <w:pStyle w:val="ListBullet"/>
        <w:spacing w:after="60"/>
        <w:ind w:left="369" w:hanging="170"/>
      </w:pPr>
      <w:r>
        <w:rPr>
          <w:rFonts w:ascii="Microsoft YaHei" w:hAnsi="Microsoft YaHei" w:eastAsia="Microsoft YaHei"/>
          <w:b/>
          <w:color w:val="222222"/>
          <w:sz w:val="21"/>
        </w:rPr>
        <w:t>产品说明：</w:t>
      </w:r>
      <w:r>
        <w:rPr>
          <w:rFonts w:ascii="Microsoft YaHei" w:hAnsi="Microsoft YaHei" w:eastAsia="Microsoft YaHei"/>
          <w:b w:val="0"/>
          <w:color w:val="222222"/>
          <w:sz w:val="21"/>
        </w:rPr>
        <w:t>https://cds.climate.copernicus.eu/datasets/reanalysis-era5-land</w:t>
      </w:r>
    </w:p>
    <w:p>
      <w:pPr>
        <w:pStyle w:val="ListBullet"/>
        <w:spacing w:after="60"/>
        <w:ind w:left="369" w:hanging="170"/>
      </w:pPr>
      <w:r>
        <w:rPr>
          <w:rFonts w:ascii="Microsoft YaHei" w:hAnsi="Microsoft YaHei" w:eastAsia="Microsoft YaHei"/>
          <w:b/>
          <w:color w:val="222222"/>
          <w:sz w:val="21"/>
        </w:rPr>
        <w:t>当前随包运行模式：</w:t>
      </w:r>
      <w:r>
        <w:rPr>
          <w:rFonts w:ascii="Microsoft YaHei" w:hAnsi="Microsoft YaHei" w:eastAsia="Microsoft YaHei"/>
          <w:b w:val="0"/>
          <w:color w:val="222222"/>
          <w:sz w:val="21"/>
        </w:rPr>
        <w:t xml:space="preserve">上面列出的是真实产品入口；Notebook </w:t>
      </w:r>
      <w:r>
        <w:rPr>
          <w:rFonts w:ascii="Microsoft YaHei" w:hAnsi="Microsoft YaHei" w:eastAsia="Microsoft YaHei"/>
          <w:b/>
          <w:color w:val="222222"/>
          <w:sz w:val="21"/>
        </w:rPr>
        <w:t>只使用固定随机种子的合成教学输入，不会自动下载或读取这些真实产品</w:t>
      </w:r>
      <w:r>
        <w:rPr>
          <w:rFonts w:ascii="Microsoft YaHei" w:hAnsi="Microsoft YaHei" w:eastAsia="Microsoft YaHei"/>
          <w:b w:val="0"/>
          <w:color w:val="222222"/>
          <w:sz w:val="21"/>
        </w:rPr>
        <w:t>。合成输出只用于演示算法和图件链路，不是实测生态环境结论。</w:t>
      </w:r>
    </w:p>
    <w:p>
      <w:pPr>
        <w:pStyle w:val="ListBullet"/>
        <w:spacing w:after="60"/>
        <w:ind w:left="369" w:hanging="170"/>
      </w:pPr>
      <w:r>
        <w:rPr>
          <w:rFonts w:ascii="Microsoft YaHei" w:hAnsi="Microsoft YaHei" w:eastAsia="Microsoft YaHei"/>
          <w:b/>
          <w:color w:val="222222"/>
          <w:sz w:val="21"/>
        </w:rPr>
        <w:t>真实数据准备：</w:t>
      </w:r>
      <w:r>
        <w:rPr>
          <w:rFonts w:ascii="Microsoft YaHei" w:hAnsi="Microsoft YaHei" w:eastAsia="Microsoft YaHei"/>
          <w:b w:val="0"/>
          <w:color w:val="222222"/>
          <w:sz w:val="21"/>
        </w:rPr>
        <w:t xml:space="preserve">先阅读本案 </w:t>
      </w:r>
      <w:r>
        <w:rPr>
          <w:rFonts w:ascii="Consolas" w:hAnsi="Consolas" w:eastAsia="Microsoft YaHei"/>
          <w:b w:val="0"/>
          <w:color w:val="174A5B"/>
          <w:sz w:val="20"/>
          <w:shd w:fill="EAF2F5"/>
        </w:rPr>
        <w:t>data/README.md</w:t>
      </w:r>
      <w:r>
        <w:rPr>
          <w:rFonts w:ascii="Microsoft YaHei" w:hAnsi="Microsoft YaHei" w:eastAsia="Microsoft YaHei"/>
          <w:b w:val="0"/>
          <w:color w:val="222222"/>
          <w:sz w:val="21"/>
        </w:rPr>
        <w:t>、</w:t>
      </w:r>
      <w:r>
        <w:rPr>
          <w:rFonts w:ascii="Consolas" w:hAnsi="Consolas" w:eastAsia="Microsoft YaHei"/>
          <w:b w:val="0"/>
          <w:color w:val="174A5B"/>
          <w:sz w:val="20"/>
          <w:shd w:fill="EAF2F5"/>
        </w:rPr>
        <w:t>data/字段字典.md</w:t>
      </w:r>
      <w:r>
        <w:rPr>
          <w:rFonts w:ascii="Microsoft YaHei" w:hAnsi="Microsoft YaHei" w:eastAsia="Microsoft YaHei"/>
          <w:b w:val="0"/>
          <w:color w:val="222222"/>
          <w:sz w:val="21"/>
        </w:rPr>
        <w:t>、</w:t>
      </w:r>
      <w:r>
        <w:rPr>
          <w:rFonts w:ascii="Consolas" w:hAnsi="Consolas" w:eastAsia="Microsoft YaHei"/>
          <w:b w:val="0"/>
          <w:color w:val="174A5B"/>
          <w:sz w:val="20"/>
          <w:shd w:fill="EAF2F5"/>
        </w:rPr>
        <w:t>references/DATASET_MANIFEST.csv</w:t>
      </w:r>
      <w:r>
        <w:rPr>
          <w:rFonts w:ascii="Microsoft YaHei" w:hAnsi="Microsoft YaHei" w:eastAsia="Microsoft YaHei"/>
          <w:b w:val="0"/>
          <w:color w:val="222222"/>
          <w:sz w:val="21"/>
        </w:rPr>
        <w:t xml:space="preserve"> 和官方产品文档；按版本核对字段/波段、时间、单位、CRS/transform、质量标记、NoData、AOI 与许可。实际产品输入尚未接入 Notebook 时，不得声称已完成真实产品分析。</w:t>
      </w:r>
    </w:p>
    <w:p>
      <w:pPr>
        <w:pStyle w:val="Heading2"/>
        <w:keepNext/>
        <w:spacing w:before="200" w:after="100"/>
      </w:pPr>
      <w:r>
        <w:rPr>
          <w:rFonts w:ascii="Microsoft YaHei" w:hAnsi="Microsoft YaHei" w:eastAsia="Microsoft YaHei"/>
          <w:b/>
          <w:color w:val="1F4250"/>
          <w:sz w:val="26"/>
        </w:rPr>
        <w:t>本案核心方法</w:t>
      </w:r>
    </w:p>
    <w:p>
      <w:pPr>
        <w:spacing w:line="288" w:lineRule="auto" w:after="100"/>
      </w:pPr>
      <w:r>
        <w:rPr>
          <w:rFonts w:ascii="Microsoft YaHei" w:hAnsi="Microsoft YaHei" w:eastAsia="Microsoft YaHei"/>
          <w:b w:val="0"/>
          <w:color w:val="222222"/>
          <w:sz w:val="21"/>
        </w:rPr>
        <w:t>日最高温合成序列、前365天固定百分位阈值、连续至少3天热浪识别、最后365天热浪日数与最长持续期、85/90/95百分位敏感性</w:t>
      </w:r>
    </w:p>
    <w:p>
      <w:pPr>
        <w:spacing w:line="288" w:lineRule="auto" w:after="100"/>
      </w:pPr>
      <w:r>
        <w:rPr>
          <w:rFonts w:ascii="Microsoft YaHei" w:hAnsi="Microsoft YaHei" w:eastAsia="Microsoft YaHei"/>
          <w:b w:val="0"/>
          <w:color w:val="222222"/>
          <w:sz w:val="21"/>
        </w:rPr>
        <w:t>核心 Python 接口：</w:t>
      </w:r>
      <w:r>
        <w:rPr>
          <w:rFonts w:ascii="Consolas" w:hAnsi="Consolas" w:eastAsia="Microsoft YaHei"/>
          <w:b w:val="0"/>
          <w:color w:val="174A5B"/>
          <w:sz w:val="20"/>
          <w:shd w:fill="EAF2F5"/>
        </w:rPr>
        <w:t>src/core_model.py</w:t>
      </w:r>
      <w:r>
        <w:rPr>
          <w:rFonts w:ascii="Microsoft YaHei" w:hAnsi="Microsoft YaHei" w:eastAsia="Microsoft YaHei"/>
          <w:b w:val="0"/>
          <w:color w:val="222222"/>
          <w:sz w:val="21"/>
        </w:rPr>
        <w:t xml:space="preserve"> 中的 </w:t>
      </w:r>
      <w:r>
        <w:rPr>
          <w:rFonts w:ascii="Consolas" w:hAnsi="Consolas" w:eastAsia="Microsoft YaHei"/>
          <w:b w:val="0"/>
          <w:color w:val="174A5B"/>
          <w:sz w:val="20"/>
          <w:shd w:fill="EAF2F5"/>
        </w:rPr>
        <w:t>percentile_threshold, heatwave_mask, longest_run</w:t>
      </w:r>
      <w:r>
        <w:rPr>
          <w:rFonts w:ascii="Microsoft YaHei" w:hAnsi="Microsoft YaHei" w:eastAsia="Microsoft YaHei"/>
          <w:b w:val="0"/>
          <w:color w:val="222222"/>
          <w:sz w:val="21"/>
        </w:rPr>
        <w:t>。学生不需要在命令行手动调用函数；按学生指导书运行 Notebook 即可。若图表或文件与方案写法不一致，请先暂停并反馈教师，不要自行猜测或伪造结果。</w:t>
      </w:r>
    </w:p>
    <w:p>
      <w:pPr>
        <w:pStyle w:val="Heading2"/>
        <w:keepNext/>
        <w:spacing w:before="200" w:after="100"/>
      </w:pPr>
      <w:r>
        <w:rPr>
          <w:rFonts w:ascii="Microsoft YaHei" w:hAnsi="Microsoft YaHei" w:eastAsia="Microsoft YaHei"/>
          <w:b/>
          <w:color w:val="1F4250"/>
          <w:sz w:val="26"/>
        </w:rPr>
        <w:t>实训流程</w:t>
      </w:r>
    </w:p>
    <w:p>
      <w:pPr>
        <w:spacing w:line="288" w:lineRule="auto" w:after="100"/>
      </w:pPr>
      <w:r>
        <w:rPr>
          <w:rFonts w:ascii="Microsoft YaHei" w:hAnsi="Microsoft YaHei" w:eastAsia="Microsoft YaHei"/>
          <w:b w:val="0"/>
          <w:color w:val="222222"/>
          <w:sz w:val="21"/>
        </w:rPr>
        <w:t>第一次先打开本案例的 Notebook，点一次‘重启内核并全部运行（Restart Kernel → Run All）’，等所有代码格跑完。下面五步是按顺序检查这一次的运行结果，不用每一步都重新运行。Notebook 每个代码格前都有标题，照着本表看对应结果即可，不需要在命令行里手动输入函数名。以后改了参数，再找到对应标题的代码格，从那里运行到 Notebook 结束。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652"/>
        <w:gridCol w:w="4082"/>
        <w:gridCol w:w="2268"/>
        <w:gridCol w:w="2789"/>
      </w:tblGrid>
      <w:tr>
        <w:trPr>
          <w:tblHeader w:val="true"/>
          <w:cantSplit/>
        </w:trPr>
        <w:tc>
          <w:tcPr>
            <w:tcW w:type="dxa" w:w="652"/>
            <w:vAlign w:val="center"/>
            <w:shd w:fill="147D8A"/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pPr>
              <w:spacing w:after="0"/>
            </w:pPr>
            <w:r>
              <w:rPr>
                <w:b/>
                <w:color w:val="FFFFFF"/>
              </w:rPr>
            </w:r>
            <w:r>
              <w:rPr>
                <w:rFonts w:ascii="Microsoft YaHei" w:hAnsi="Microsoft YaHei" w:eastAsia="Microsoft YaHei"/>
                <w:b/>
                <w:color w:val="FFFFFF"/>
                <w:sz w:val="18"/>
              </w:rPr>
              <w:t>步骤</w:t>
            </w:r>
          </w:p>
        </w:tc>
        <w:tc>
          <w:tcPr>
            <w:tcW w:type="dxa" w:w="4082"/>
            <w:vAlign w:val="center"/>
            <w:shd w:fill="147D8A"/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pPr>
              <w:spacing w:after="0"/>
            </w:pPr>
            <w:r>
              <w:rPr>
                <w:b/>
                <w:color w:val="FFFFFF"/>
              </w:rPr>
            </w:r>
            <w:r>
              <w:rPr>
                <w:rFonts w:ascii="Microsoft YaHei" w:hAnsi="Microsoft YaHei" w:eastAsia="Microsoft YaHei"/>
                <w:b/>
                <w:color w:val="FFFFFF"/>
                <w:sz w:val="18"/>
              </w:rPr>
              <w:t>学生操作</w:t>
            </w:r>
          </w:p>
        </w:tc>
        <w:tc>
          <w:tcPr>
            <w:tcW w:type="dxa" w:w="2268"/>
            <w:vAlign w:val="center"/>
            <w:shd w:fill="147D8A"/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pPr>
              <w:spacing w:after="0"/>
            </w:pPr>
            <w:r>
              <w:rPr>
                <w:b/>
                <w:color w:val="FFFFFF"/>
              </w:rPr>
            </w:r>
            <w:r>
              <w:rPr>
                <w:rFonts w:ascii="Microsoft YaHei" w:hAnsi="Microsoft YaHei" w:eastAsia="Microsoft YaHei"/>
                <w:b/>
                <w:color w:val="FFFFFF"/>
                <w:sz w:val="18"/>
              </w:rPr>
              <w:t>本步产物</w:t>
            </w:r>
          </w:p>
        </w:tc>
        <w:tc>
          <w:tcPr>
            <w:tcW w:type="dxa" w:w="2789"/>
            <w:vAlign w:val="center"/>
            <w:shd w:fill="147D8A"/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pPr>
              <w:spacing w:after="0"/>
            </w:pPr>
            <w:r>
              <w:rPr>
                <w:b/>
                <w:color w:val="FFFFFF"/>
              </w:rPr>
            </w:r>
            <w:r>
              <w:rPr>
                <w:rFonts w:ascii="Microsoft YaHei" w:hAnsi="Microsoft YaHei" w:eastAsia="Microsoft YaHei"/>
                <w:b/>
                <w:color w:val="FFFFFF"/>
                <w:sz w:val="18"/>
              </w:rPr>
              <w:t>检查点</w:t>
            </w:r>
          </w:p>
        </w:tc>
      </w:tr>
      <w:tr>
        <w:trPr>
          <w:cantSplit/>
        </w:trPr>
        <w:tc>
          <w:tcPr>
            <w:tcW w:type="dxa" w:w="652"/>
            <w:vAlign w:val="center"/>
            <w:tcMar>
              <w:top w:w="70" w:type="dxa"/>
              <w:start w:w="90" w:type="dxa"/>
              <w:bottom w:w="70" w:type="dxa"/>
              <w:end w:w="90" w:type="dxa"/>
            </w:tcMar>
            <w:shd w:fill="F2F8F9"/>
          </w:tcPr>
          <w:p>
            <w:pPr>
              <w:spacing w:after="0"/>
            </w:pPr>
            <w:r/>
            <w:r>
              <w:rPr>
                <w:rFonts w:ascii="Microsoft YaHei" w:hAnsi="Microsoft YaHei" w:eastAsia="Microsoft YaHei"/>
                <w:b w:val="0"/>
                <w:color w:val="1F4E5F"/>
                <w:sz w:val="18"/>
              </w:rPr>
              <w:t>1. 确认温度时间轴和单位</w:t>
            </w:r>
          </w:p>
        </w:tc>
        <w:tc>
          <w:tcPr>
            <w:tcW w:type="dxa" w:w="4082"/>
            <w:vAlign w:val="center"/>
            <w:tcMar>
              <w:top w:w="70" w:type="dxa"/>
              <w:start w:w="90" w:type="dxa"/>
              <w:bottom w:w="70" w:type="dxa"/>
              <w:end w:w="90" w:type="dxa"/>
            </w:tcMar>
            <w:shd w:fill="F2F8F9"/>
          </w:tcPr>
          <w:p>
            <w:pPr>
              <w:spacing w:after="0"/>
            </w:pPr>
            <w:r/>
            <w:r>
              <w:rPr>
                <w:rFonts w:ascii="Microsoft YaHei" w:hAnsi="Microsoft YaHei" w:eastAsia="Microsoft YaHei"/>
                <w:b w:val="0"/>
                <w:color w:val="1F4E5F"/>
                <w:sz w:val="18"/>
              </w:rPr>
              <w:t>Notebook 一次性运行完成后，查看输入摘要。当前输入是 5 年合成日最高温度；先看时间长度、网格形状和温度单位。真实 ERA5-Land 数据接入时还要检查 UTC 时间、K 转 °C、网格和缺测。</w:t>
            </w:r>
          </w:p>
        </w:tc>
        <w:tc>
          <w:tcPr>
            <w:tcW w:type="dxa" w:w="2268"/>
            <w:vAlign w:val="center"/>
            <w:tcMar>
              <w:top w:w="70" w:type="dxa"/>
              <w:start w:w="90" w:type="dxa"/>
              <w:bottom w:w="70" w:type="dxa"/>
              <w:end w:w="90" w:type="dxa"/>
            </w:tcMar>
            <w:shd w:fill="F2F8F9"/>
          </w:tcPr>
          <w:p>
            <w:pPr>
              <w:spacing w:after="0"/>
            </w:pPr>
            <w:r/>
            <w:r>
              <w:rPr>
                <w:rFonts w:ascii="Microsoft YaHei" w:hAnsi="Microsoft YaHei" w:eastAsia="Microsoft YaHei"/>
                <w:b w:val="0"/>
                <w:color w:val="1F4E5F"/>
                <w:sz w:val="18"/>
              </w:rPr>
              <w:t>Notebook 输入摘要</w:t>
            </w:r>
          </w:p>
        </w:tc>
        <w:tc>
          <w:tcPr>
            <w:tcW w:type="dxa" w:w="2789"/>
            <w:vAlign w:val="center"/>
            <w:tcMar>
              <w:top w:w="70" w:type="dxa"/>
              <w:start w:w="90" w:type="dxa"/>
              <w:bottom w:w="70" w:type="dxa"/>
              <w:end w:w="90" w:type="dxa"/>
            </w:tcMar>
            <w:shd w:fill="F2F8F9"/>
          </w:tcPr>
          <w:p>
            <w:pPr>
              <w:spacing w:after="0"/>
            </w:pPr>
            <w:r/>
            <w:r>
              <w:rPr>
                <w:rFonts w:ascii="Microsoft YaHei" w:hAnsi="Microsoft YaHei" w:eastAsia="Microsoft YaHei"/>
                <w:b w:val="0"/>
                <w:color w:val="1F4E5F"/>
                <w:sz w:val="18"/>
              </w:rPr>
              <w:t>记录日数、网格形状和单位，并明确合成状态。</w:t>
            </w:r>
          </w:p>
        </w:tc>
      </w:tr>
      <w:tr>
        <w:trPr>
          <w:cantSplit/>
        </w:trPr>
        <w:tc>
          <w:tcPr>
            <w:tcW w:type="dxa" w:w="652"/>
            <w:vAlign w:val="center"/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pPr>
              <w:spacing w:after="0"/>
            </w:pPr>
            <w:r/>
            <w:r>
              <w:rPr>
                <w:rFonts w:ascii="Microsoft YaHei" w:hAnsi="Microsoft YaHei" w:eastAsia="Microsoft YaHei"/>
                <w:b w:val="0"/>
                <w:color w:val="1F4E5F"/>
                <w:sz w:val="18"/>
              </w:rPr>
              <w:t>2. 用前 365 天计算固定 90 分位阈值</w:t>
            </w:r>
          </w:p>
        </w:tc>
        <w:tc>
          <w:tcPr>
            <w:tcW w:type="dxa" w:w="4082"/>
            <w:vAlign w:val="center"/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pPr>
              <w:spacing w:after="0"/>
            </w:pPr>
            <w:r/>
            <w:r>
              <w:rPr>
                <w:rFonts w:ascii="Microsoft YaHei" w:hAnsi="Microsoft YaHei" w:eastAsia="Microsoft YaHei"/>
                <w:b w:val="0"/>
                <w:color w:val="1F4E5F"/>
                <w:sz w:val="18"/>
              </w:rPr>
              <w:t>查看阈值单元的运行结果。程序只用前 365 天作为基准，为每个网格算一个固定的 90 分位温度阈值；它不是按每个日历日滑动计算的阈值。</w:t>
            </w:r>
          </w:p>
        </w:tc>
        <w:tc>
          <w:tcPr>
            <w:tcW w:type="dxa" w:w="2268"/>
            <w:vAlign w:val="center"/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pPr>
              <w:spacing w:after="0"/>
            </w:pPr>
            <w:r/>
            <w:r>
              <w:rPr>
                <w:rFonts w:ascii="Consolas" w:hAnsi="Consolas" w:eastAsia="Microsoft YaHei"/>
                <w:b w:val="0"/>
                <w:color w:val="174A5B"/>
                <w:sz w:val="17"/>
                <w:shd w:fill="EAF2F5"/>
              </w:rPr>
              <w:t>outputs/student_run/summary.csv</w:t>
            </w:r>
            <w:r>
              <w:rPr>
                <w:rFonts w:ascii="Microsoft YaHei" w:hAnsi="Microsoft YaHei" w:eastAsia="Microsoft YaHei"/>
                <w:b w:val="0"/>
                <w:color w:val="1F4E5F"/>
                <w:sz w:val="18"/>
              </w:rPr>
              <w:t xml:space="preserve"> 的 </w:t>
            </w:r>
            <w:r>
              <w:rPr>
                <w:rFonts w:ascii="Consolas" w:hAnsi="Consolas" w:eastAsia="Microsoft YaHei"/>
                <w:b w:val="0"/>
                <w:color w:val="174A5B"/>
                <w:sz w:val="17"/>
                <w:shd w:fill="EAF2F5"/>
              </w:rPr>
              <w:t>mean_threshold_C</w:t>
            </w:r>
            <w:r>
              <w:rPr>
                <w:rFonts w:ascii="Microsoft YaHei" w:hAnsi="Microsoft YaHei" w:eastAsia="Microsoft YaHei"/>
                <w:b w:val="0"/>
                <w:color w:val="1F4E5F"/>
                <w:sz w:val="18"/>
              </w:rPr>
              <w:t>；</w:t>
            </w:r>
            <w:r>
              <w:rPr>
                <w:rFonts w:ascii="Consolas" w:hAnsi="Consolas" w:eastAsia="Microsoft YaHei"/>
                <w:b w:val="0"/>
                <w:color w:val="174A5B"/>
                <w:sz w:val="17"/>
                <w:shd w:fill="EAF2F5"/>
              </w:rPr>
              <w:t>outputs/student_run/figures/01_spatiotemporal_overview.png</w:t>
            </w:r>
          </w:p>
        </w:tc>
        <w:tc>
          <w:tcPr>
            <w:tcW w:type="dxa" w:w="2789"/>
            <w:vAlign w:val="center"/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pPr>
              <w:spacing w:after="0"/>
            </w:pPr>
            <w:r/>
            <w:r>
              <w:rPr>
                <w:rFonts w:ascii="Microsoft YaHei" w:hAnsi="Microsoft YaHei" w:eastAsia="Microsoft YaHei"/>
                <w:b w:val="0"/>
                <w:color w:val="1F4E5F"/>
                <w:sz w:val="18"/>
              </w:rPr>
              <w:t>能指出基准期是前 365 天、百分位是 90，并在图 01 中看到阈值线。</w:t>
            </w:r>
          </w:p>
        </w:tc>
      </w:tr>
      <w:tr>
        <w:trPr>
          <w:cantSplit/>
        </w:trPr>
        <w:tc>
          <w:tcPr>
            <w:tcW w:type="dxa" w:w="652"/>
            <w:vAlign w:val="center"/>
            <w:tcMar>
              <w:top w:w="70" w:type="dxa"/>
              <w:start w:w="90" w:type="dxa"/>
              <w:bottom w:w="70" w:type="dxa"/>
              <w:end w:w="90" w:type="dxa"/>
            </w:tcMar>
            <w:shd w:fill="F2F8F9"/>
          </w:tcPr>
          <w:p>
            <w:pPr>
              <w:spacing w:after="0"/>
            </w:pPr>
            <w:r/>
            <w:r>
              <w:rPr>
                <w:rFonts w:ascii="Microsoft YaHei" w:hAnsi="Microsoft YaHei" w:eastAsia="Microsoft YaHei"/>
                <w:b w:val="0"/>
                <w:color w:val="1F4E5F"/>
                <w:sz w:val="18"/>
              </w:rPr>
              <w:t>3. 识别连续热浪</w:t>
            </w:r>
          </w:p>
        </w:tc>
        <w:tc>
          <w:tcPr>
            <w:tcW w:type="dxa" w:w="4082"/>
            <w:vAlign w:val="center"/>
            <w:tcMar>
              <w:top w:w="70" w:type="dxa"/>
              <w:start w:w="90" w:type="dxa"/>
              <w:bottom w:w="70" w:type="dxa"/>
              <w:end w:w="90" w:type="dxa"/>
            </w:tcMar>
            <w:shd w:fill="F2F8F9"/>
          </w:tcPr>
          <w:p>
            <w:pPr>
              <w:spacing w:after="0"/>
            </w:pPr>
            <w:r/>
            <w:r>
              <w:rPr>
                <w:rFonts w:ascii="Microsoft YaHei" w:hAnsi="Microsoft YaHei" w:eastAsia="Microsoft YaHei"/>
                <w:b w:val="0"/>
                <w:color w:val="1F4E5F"/>
                <w:sz w:val="18"/>
              </w:rPr>
              <w:t>查看热浪单元的运行结果。温度超过各网格阈值且连续至少 3 天才算一次热浪；缺测日不能被拼成连续事件。</w:t>
            </w:r>
          </w:p>
        </w:tc>
        <w:tc>
          <w:tcPr>
            <w:tcW w:type="dxa" w:w="2268"/>
            <w:vAlign w:val="center"/>
            <w:tcMar>
              <w:top w:w="70" w:type="dxa"/>
              <w:start w:w="90" w:type="dxa"/>
              <w:bottom w:w="70" w:type="dxa"/>
              <w:end w:w="90" w:type="dxa"/>
            </w:tcMar>
            <w:shd w:fill="F2F8F9"/>
          </w:tcPr>
          <w:p>
            <w:pPr>
              <w:spacing w:after="0"/>
            </w:pPr>
            <w:r/>
            <w:r>
              <w:rPr>
                <w:rFonts w:ascii="Consolas" w:hAnsi="Consolas" w:eastAsia="Microsoft YaHei"/>
                <w:b w:val="0"/>
                <w:color w:val="174A5B"/>
                <w:sz w:val="17"/>
                <w:shd w:fill="EAF2F5"/>
              </w:rPr>
              <w:t>outputs/student_run/summary.csv</w:t>
            </w:r>
            <w:r>
              <w:rPr>
                <w:rFonts w:ascii="Microsoft YaHei" w:hAnsi="Microsoft YaHei" w:eastAsia="Microsoft YaHei"/>
                <w:b w:val="0"/>
                <w:color w:val="1F4E5F"/>
                <w:sz w:val="18"/>
              </w:rPr>
              <w:t xml:space="preserve"> 的 </w:t>
            </w:r>
            <w:r>
              <w:rPr>
                <w:rFonts w:ascii="Consolas" w:hAnsi="Consolas" w:eastAsia="Microsoft YaHei"/>
                <w:b w:val="0"/>
                <w:color w:val="174A5B"/>
                <w:sz w:val="17"/>
                <w:shd w:fill="EAF2F5"/>
              </w:rPr>
              <w:t>minimum_duration_days</w:t>
            </w:r>
            <w:r>
              <w:rPr>
                <w:rFonts w:ascii="Microsoft YaHei" w:hAnsi="Microsoft YaHei" w:eastAsia="Microsoft YaHei"/>
                <w:b w:val="0"/>
                <w:color w:val="1F4E5F"/>
                <w:sz w:val="18"/>
              </w:rPr>
              <w:t>、</w:t>
            </w:r>
            <w:r>
              <w:rPr>
                <w:rFonts w:ascii="Consolas" w:hAnsi="Consolas" w:eastAsia="Microsoft YaHei"/>
                <w:b w:val="0"/>
                <w:color w:val="174A5B"/>
                <w:sz w:val="17"/>
                <w:shd w:fill="EAF2F5"/>
              </w:rPr>
              <w:t>max_run_days</w:t>
            </w:r>
            <w:r>
              <w:rPr>
                <w:rFonts w:ascii="Microsoft YaHei" w:hAnsi="Microsoft YaHei" w:eastAsia="Microsoft YaHei"/>
                <w:b w:val="0"/>
                <w:color w:val="1F4E5F"/>
                <w:sz w:val="18"/>
              </w:rPr>
              <w:t>；</w:t>
            </w:r>
            <w:r>
              <w:rPr>
                <w:rFonts w:ascii="Consolas" w:hAnsi="Consolas" w:eastAsia="Microsoft YaHei"/>
                <w:b w:val="0"/>
                <w:color w:val="174A5B"/>
                <w:sz w:val="17"/>
                <w:shd w:fill="EAF2F5"/>
              </w:rPr>
              <w:t>outputs/student_run/figures/03_spatial_diagnostic.png</w:t>
            </w:r>
          </w:p>
        </w:tc>
        <w:tc>
          <w:tcPr>
            <w:tcW w:type="dxa" w:w="2789"/>
            <w:vAlign w:val="center"/>
            <w:tcMar>
              <w:top w:w="70" w:type="dxa"/>
              <w:start w:w="90" w:type="dxa"/>
              <w:bottom w:w="70" w:type="dxa"/>
              <w:end w:w="90" w:type="dxa"/>
            </w:tcMar>
            <w:shd w:fill="F2F8F9"/>
          </w:tcPr>
          <w:p>
            <w:pPr>
              <w:spacing w:after="0"/>
            </w:pPr>
            <w:r/>
            <w:r>
              <w:rPr>
                <w:rFonts w:ascii="Microsoft YaHei" w:hAnsi="Microsoft YaHei" w:eastAsia="Microsoft YaHei"/>
                <w:b w:val="0"/>
                <w:color w:val="1F4E5F"/>
                <w:sz w:val="18"/>
              </w:rPr>
              <w:t>能解释‘热日’和‘连续热浪’的区别，并确认最短持续日数为 3 天。</w:t>
            </w:r>
          </w:p>
        </w:tc>
      </w:tr>
      <w:tr>
        <w:trPr>
          <w:cantSplit/>
        </w:trPr>
        <w:tc>
          <w:tcPr>
            <w:tcW w:type="dxa" w:w="652"/>
            <w:vAlign w:val="center"/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pPr>
              <w:spacing w:after="0"/>
            </w:pPr>
            <w:r/>
            <w:r>
              <w:rPr>
                <w:rFonts w:ascii="Microsoft YaHei" w:hAnsi="Microsoft YaHei" w:eastAsia="Microsoft YaHei"/>
                <w:b w:val="0"/>
                <w:color w:val="1F4E5F"/>
                <w:sz w:val="18"/>
              </w:rPr>
              <w:t>4. 看最后 365 天的热浪日数</w:t>
            </w:r>
          </w:p>
        </w:tc>
        <w:tc>
          <w:tcPr>
            <w:tcW w:type="dxa" w:w="4082"/>
            <w:vAlign w:val="center"/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pPr>
              <w:spacing w:after="0"/>
            </w:pPr>
            <w:r/>
            <w:r>
              <w:rPr>
                <w:rFonts w:ascii="Microsoft YaHei" w:hAnsi="Microsoft YaHei" w:eastAsia="Microsoft YaHei"/>
                <w:b w:val="0"/>
                <w:color w:val="1F4E5F"/>
                <w:sz w:val="18"/>
              </w:rPr>
              <w:t>打开图 02。图中是最后 365 天每个网格的热浪日数空间聚合，不是跨多年趋势显著性图。</w:t>
            </w:r>
          </w:p>
        </w:tc>
        <w:tc>
          <w:tcPr>
            <w:tcW w:type="dxa" w:w="2268"/>
            <w:vAlign w:val="center"/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pPr>
              <w:spacing w:after="0"/>
            </w:pPr>
            <w:r/>
            <w:r>
              <w:rPr>
                <w:rFonts w:ascii="Consolas" w:hAnsi="Consolas" w:eastAsia="Microsoft YaHei"/>
                <w:b w:val="0"/>
                <w:color w:val="174A5B"/>
                <w:sz w:val="17"/>
                <w:shd w:fill="EAF2F5"/>
              </w:rPr>
              <w:t>outputs/student_run/figures/02_trend_significance.png</w:t>
            </w:r>
          </w:p>
        </w:tc>
        <w:tc>
          <w:tcPr>
            <w:tcW w:type="dxa" w:w="2789"/>
            <w:vAlign w:val="center"/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pPr>
              <w:spacing w:after="0"/>
            </w:pPr>
            <w:r/>
            <w:r>
              <w:rPr>
                <w:rFonts w:ascii="Microsoft YaHei" w:hAnsi="Microsoft YaHei" w:eastAsia="Microsoft YaHei"/>
                <w:b w:val="0"/>
                <w:color w:val="1F4E5F"/>
                <w:sz w:val="18"/>
              </w:rPr>
              <w:t>图题、颜色条和统计时段一致；不把这张图写成长期趋势或健康风险结论。</w:t>
            </w:r>
          </w:p>
        </w:tc>
      </w:tr>
      <w:tr>
        <w:trPr>
          <w:cantSplit/>
        </w:trPr>
        <w:tc>
          <w:tcPr>
            <w:tcW w:type="dxa" w:w="652"/>
            <w:vAlign w:val="center"/>
            <w:tcMar>
              <w:top w:w="70" w:type="dxa"/>
              <w:start w:w="90" w:type="dxa"/>
              <w:bottom w:w="70" w:type="dxa"/>
              <w:end w:w="90" w:type="dxa"/>
            </w:tcMar>
            <w:shd w:fill="F2F8F9"/>
          </w:tcPr>
          <w:p>
            <w:pPr>
              <w:spacing w:after="0"/>
            </w:pPr>
            <w:r/>
            <w:r>
              <w:rPr>
                <w:rFonts w:ascii="Microsoft YaHei" w:hAnsi="Microsoft YaHei" w:eastAsia="Microsoft YaHei"/>
                <w:b w:val="0"/>
                <w:color w:val="1F4E5F"/>
                <w:sz w:val="18"/>
              </w:rPr>
              <w:t>5. 比较百分位阈值并写边界</w:t>
            </w:r>
          </w:p>
        </w:tc>
        <w:tc>
          <w:tcPr>
            <w:tcW w:type="dxa" w:w="4082"/>
            <w:vAlign w:val="center"/>
            <w:tcMar>
              <w:top w:w="70" w:type="dxa"/>
              <w:start w:w="90" w:type="dxa"/>
              <w:bottom w:w="70" w:type="dxa"/>
              <w:end w:w="90" w:type="dxa"/>
            </w:tcMar>
            <w:shd w:fill="F2F8F9"/>
          </w:tcPr>
          <w:p>
            <w:pPr>
              <w:spacing w:after="0"/>
            </w:pPr>
            <w:r/>
            <w:r>
              <w:rPr>
                <w:rFonts w:ascii="Microsoft YaHei" w:hAnsi="Microsoft YaHei" w:eastAsia="Microsoft YaHei"/>
                <w:b w:val="0"/>
                <w:color w:val="1F4E5F"/>
                <w:sz w:val="18"/>
              </w:rPr>
              <w:t>打开图 04，比较 85、90、95 分位阈值下的标记比例。报告中写明再分析温度与站点观测的区别，合成结果不能直接用于真实热风险判断。</w:t>
            </w:r>
          </w:p>
        </w:tc>
        <w:tc>
          <w:tcPr>
            <w:tcW w:type="dxa" w:w="2268"/>
            <w:vAlign w:val="center"/>
            <w:tcMar>
              <w:top w:w="70" w:type="dxa"/>
              <w:start w:w="90" w:type="dxa"/>
              <w:bottom w:w="70" w:type="dxa"/>
              <w:end w:w="90" w:type="dxa"/>
            </w:tcMar>
            <w:shd w:fill="F2F8F9"/>
          </w:tcPr>
          <w:p>
            <w:pPr>
              <w:spacing w:after="0"/>
            </w:pPr>
            <w:r/>
            <w:r>
              <w:rPr>
                <w:rFonts w:ascii="Consolas" w:hAnsi="Consolas" w:eastAsia="Microsoft YaHei"/>
                <w:b w:val="0"/>
                <w:color w:val="174A5B"/>
                <w:sz w:val="17"/>
                <w:shd w:fill="EAF2F5"/>
              </w:rPr>
              <w:t>outputs/student_run/figures/04_sensitivity.png</w:t>
            </w:r>
            <w:r>
              <w:rPr>
                <w:rFonts w:ascii="Microsoft YaHei" w:hAnsi="Microsoft YaHei" w:eastAsia="Microsoft YaHei"/>
                <w:b w:val="0"/>
                <w:color w:val="1F4E5F"/>
                <w:sz w:val="18"/>
              </w:rPr>
              <w:t>；一页结果说明</w:t>
            </w:r>
          </w:p>
        </w:tc>
        <w:tc>
          <w:tcPr>
            <w:tcW w:type="dxa" w:w="2789"/>
            <w:vAlign w:val="center"/>
            <w:tcMar>
              <w:top w:w="70" w:type="dxa"/>
              <w:start w:w="90" w:type="dxa"/>
              <w:bottom w:w="70" w:type="dxa"/>
              <w:end w:w="90" w:type="dxa"/>
            </w:tcMar>
            <w:shd w:fill="F2F8F9"/>
          </w:tcPr>
          <w:p>
            <w:pPr>
              <w:spacing w:after="0"/>
            </w:pPr>
            <w:r/>
            <w:r>
              <w:rPr>
                <w:rFonts w:ascii="Microsoft YaHei" w:hAnsi="Microsoft YaHei" w:eastAsia="Microsoft YaHei"/>
                <w:b w:val="0"/>
                <w:color w:val="1F4E5F"/>
                <w:sz w:val="18"/>
              </w:rPr>
              <w:t>至少记录一次阈值比较，并同时写出基准期、最短持续日数和数据状态。</w:t>
            </w:r>
          </w:p>
        </w:tc>
      </w:tr>
    </w:tbl>
    <w:p>
      <w:pPr>
        <w:spacing w:after="20"/>
      </w:pPr>
    </w:p>
    <w:p>
      <w:pPr>
        <w:pStyle w:val="Heading2"/>
        <w:keepNext/>
        <w:spacing w:before="200" w:after="100"/>
      </w:pPr>
      <w:r>
        <w:rPr>
          <w:rFonts w:ascii="Microsoft YaHei" w:hAnsi="Microsoft YaHei" w:eastAsia="Microsoft YaHei"/>
          <w:b/>
          <w:color w:val="1F4250"/>
          <w:sz w:val="26"/>
        </w:rPr>
        <w:t>学生交付物</w:t>
      </w:r>
    </w:p>
    <w:p>
      <w:pPr>
        <w:spacing w:line="288" w:lineRule="auto" w:after="100"/>
      </w:pPr>
      <w:r>
        <w:rPr>
          <w:rFonts w:ascii="Microsoft YaHei" w:hAnsi="Microsoft YaHei" w:eastAsia="Microsoft YaHei"/>
          <w:b w:val="0"/>
          <w:color w:val="222222"/>
          <w:sz w:val="21"/>
        </w:rPr>
        <w:t>运行 Notebook 后，提交以下实际生成的文件：</w:t>
      </w:r>
    </w:p>
    <w:p>
      <w:pPr>
        <w:pStyle w:val="ListBullet"/>
        <w:spacing w:after="60"/>
        <w:ind w:left="369" w:hanging="170"/>
      </w:pPr>
      <w:r>
        <w:rPr>
          <w:rFonts w:ascii="Consolas" w:hAnsi="Consolas" w:eastAsia="Microsoft YaHei"/>
          <w:b w:val="0"/>
          <w:color w:val="174A5B"/>
          <w:sz w:val="20"/>
          <w:shd w:fill="EAF2F5"/>
        </w:rPr>
        <w:t>outputs/student_run/figures/01_spatiotemporal_overview.png</w:t>
      </w:r>
    </w:p>
    <w:p>
      <w:pPr>
        <w:pStyle w:val="ListBullet"/>
        <w:spacing w:after="60"/>
        <w:ind w:left="369" w:hanging="170"/>
      </w:pPr>
      <w:r>
        <w:rPr>
          <w:rFonts w:ascii="Consolas" w:hAnsi="Consolas" w:eastAsia="Microsoft YaHei"/>
          <w:b w:val="0"/>
          <w:color w:val="174A5B"/>
          <w:sz w:val="20"/>
          <w:shd w:fill="EAF2F5"/>
        </w:rPr>
        <w:t>outputs/student_run/figures/02_trend_significance.png</w:t>
      </w:r>
    </w:p>
    <w:p>
      <w:pPr>
        <w:pStyle w:val="ListBullet"/>
        <w:spacing w:after="60"/>
        <w:ind w:left="369" w:hanging="170"/>
      </w:pPr>
      <w:r>
        <w:rPr>
          <w:rFonts w:ascii="Consolas" w:hAnsi="Consolas" w:eastAsia="Microsoft YaHei"/>
          <w:b w:val="0"/>
          <w:color w:val="174A5B"/>
          <w:sz w:val="20"/>
          <w:shd w:fill="EAF2F5"/>
        </w:rPr>
        <w:t>outputs/student_run/figures/03_spatial_diagnostic.png</w:t>
      </w:r>
    </w:p>
    <w:p>
      <w:pPr>
        <w:pStyle w:val="ListBullet"/>
        <w:spacing w:after="60"/>
        <w:ind w:left="369" w:hanging="170"/>
      </w:pPr>
      <w:r>
        <w:rPr>
          <w:rFonts w:ascii="Consolas" w:hAnsi="Consolas" w:eastAsia="Microsoft YaHei"/>
          <w:b w:val="0"/>
          <w:color w:val="174A5B"/>
          <w:sz w:val="20"/>
          <w:shd w:fill="EAF2F5"/>
        </w:rPr>
        <w:t>outputs/student_run/figures/04_sensitivity.png</w:t>
      </w:r>
    </w:p>
    <w:p>
      <w:pPr>
        <w:pStyle w:val="ListBullet"/>
        <w:spacing w:after="60"/>
        <w:ind w:left="369" w:hanging="170"/>
      </w:pPr>
      <w:r>
        <w:rPr>
          <w:rFonts w:ascii="Consolas" w:hAnsi="Consolas" w:eastAsia="Microsoft YaHei"/>
          <w:b w:val="0"/>
          <w:color w:val="174A5B"/>
          <w:sz w:val="20"/>
          <w:shd w:fill="EAF2F5"/>
        </w:rPr>
        <w:t>outputs/student_run/summary.csv</w:t>
      </w:r>
    </w:p>
    <w:p>
      <w:pPr>
        <w:spacing w:line="288" w:lineRule="auto" w:after="100"/>
      </w:pPr>
      <w:r>
        <w:rPr>
          <w:rFonts w:ascii="Microsoft YaHei" w:hAnsi="Microsoft YaHei" w:eastAsia="Microsoft YaHei"/>
          <w:b w:val="0"/>
          <w:color w:val="222222"/>
          <w:sz w:val="21"/>
        </w:rPr>
        <w:t xml:space="preserve">另外，请自己新建 </w:t>
      </w:r>
      <w:r>
        <w:rPr>
          <w:rFonts w:ascii="Consolas" w:hAnsi="Consolas" w:eastAsia="Microsoft YaHei"/>
          <w:b w:val="0"/>
          <w:color w:val="174A5B"/>
          <w:sz w:val="20"/>
          <w:shd w:fill="EAF2F5"/>
        </w:rPr>
        <w:t>outputs/student_run/结果说明.md</w:t>
      </w:r>
      <w:r>
        <w:rPr>
          <w:rFonts w:ascii="Microsoft YaHei" w:hAnsi="Microsoft YaHei" w:eastAsia="Microsoft YaHei"/>
          <w:b w:val="0"/>
          <w:color w:val="222222"/>
          <w:sz w:val="21"/>
        </w:rPr>
        <w:t>，用一页写清输入是什么、关键参数、图表发现、敏感性结果和结论限制。Notebook 不会自动生成这份说明。</w:t>
      </w:r>
    </w:p>
    <w:p>
      <w:pPr>
        <w:pStyle w:val="Heading2"/>
        <w:keepNext/>
        <w:spacing w:before="200" w:after="100"/>
      </w:pPr>
      <w:r>
        <w:rPr>
          <w:rFonts w:ascii="Microsoft YaHei" w:hAnsi="Microsoft YaHei" w:eastAsia="Microsoft YaHei"/>
          <w:b/>
          <w:color w:val="1F4250"/>
          <w:sz w:val="26"/>
        </w:rPr>
        <w:t>故障处理</w:t>
      </w:r>
    </w:p>
    <w:p>
      <w:pPr>
        <w:pStyle w:val="ListBullet"/>
        <w:spacing w:after="60"/>
        <w:ind w:left="369" w:hanging="170"/>
      </w:pPr>
      <w:r>
        <w:rPr>
          <w:rFonts w:ascii="Microsoft YaHei" w:hAnsi="Microsoft YaHei" w:eastAsia="Microsoft YaHei"/>
          <w:b/>
          <w:color w:val="222222"/>
          <w:sz w:val="21"/>
        </w:rPr>
        <w:t>Notebook 找不到输入：</w:t>
      </w:r>
      <w:r>
        <w:rPr>
          <w:rFonts w:ascii="Microsoft YaHei" w:hAnsi="Microsoft YaHei" w:eastAsia="Microsoft YaHei"/>
          <w:b w:val="0"/>
          <w:color w:val="222222"/>
          <w:sz w:val="21"/>
        </w:rPr>
        <w:t>先按本案运行手册和 Notebook 相对路径启动；不要使用作者电脑绝对路径。</w:t>
      </w:r>
    </w:p>
    <w:p>
      <w:pPr>
        <w:pStyle w:val="ListBullet"/>
        <w:spacing w:after="60"/>
        <w:ind w:left="369" w:hanging="170"/>
      </w:pPr>
      <w:r>
        <w:rPr>
          <w:rFonts w:ascii="Microsoft YaHei" w:hAnsi="Microsoft YaHei" w:eastAsia="Microsoft YaHei"/>
          <w:b/>
          <w:color w:val="222222"/>
          <w:sz w:val="21"/>
        </w:rPr>
        <w:t>图件空白或出现异常值：</w:t>
      </w:r>
      <w:r>
        <w:rPr>
          <w:rFonts w:ascii="Microsoft YaHei" w:hAnsi="Microsoft YaHei" w:eastAsia="Microsoft YaHei"/>
          <w:b w:val="0"/>
          <w:color w:val="222222"/>
          <w:sz w:val="21"/>
        </w:rPr>
        <w:t>检查维度、有效掩膜、NaN/NoData、单位和阈值；先停止解释，再修复输入。</w:t>
      </w:r>
    </w:p>
    <w:p>
      <w:pPr>
        <w:pStyle w:val="ListBullet"/>
        <w:spacing w:after="60"/>
        <w:ind w:left="369" w:hanging="170"/>
      </w:pPr>
      <w:r>
        <w:rPr>
          <w:rFonts w:ascii="Microsoft YaHei" w:hAnsi="Microsoft YaHei" w:eastAsia="Microsoft YaHei"/>
          <w:b/>
          <w:color w:val="222222"/>
          <w:sz w:val="21"/>
        </w:rPr>
        <w:t>真实产品与示例输入不匹配：</w:t>
      </w:r>
      <w:r>
        <w:rPr>
          <w:rFonts w:ascii="Microsoft YaHei" w:hAnsi="Microsoft YaHei" w:eastAsia="Microsoft YaHei"/>
          <w:b w:val="0"/>
          <w:color w:val="222222"/>
          <w:sz w:val="21"/>
        </w:rPr>
        <w:t>核对官方字段字典和产品版本；完成显式映射、单位/CRS检查后再运行，不能直接把真实栅格塞入模拟数组流程。</w:t>
      </w:r>
    </w:p>
    <w:p>
      <w:pPr>
        <w:pStyle w:val="ListBullet"/>
        <w:spacing w:after="60"/>
        <w:ind w:left="369" w:hanging="170"/>
      </w:pPr>
      <w:r>
        <w:rPr>
          <w:rFonts w:ascii="Microsoft YaHei" w:hAnsi="Microsoft YaHei" w:eastAsia="Microsoft YaHei"/>
          <w:b/>
          <w:color w:val="222222"/>
          <w:sz w:val="21"/>
        </w:rPr>
        <w:t>显著性或趋势过度解释：</w:t>
      </w:r>
      <w:r>
        <w:rPr>
          <w:rFonts w:ascii="Microsoft YaHei" w:hAnsi="Microsoft YaHei" w:eastAsia="Microsoft YaHei"/>
          <w:b w:val="0"/>
          <w:color w:val="222222"/>
          <w:sz w:val="21"/>
        </w:rPr>
        <w:t>记录空间/时间依赖、权重或检验条件；图上分组、象限或 Z 分数不自动代表统计显著。</w:t>
      </w:r>
    </w:p>
    <w:p>
      <w:pPr>
        <w:pStyle w:val="ListBullet"/>
        <w:spacing w:after="60"/>
        <w:ind w:left="369" w:hanging="170"/>
      </w:pPr>
      <w:r>
        <w:rPr>
          <w:rFonts w:ascii="Microsoft YaHei" w:hAnsi="Microsoft YaHei" w:eastAsia="Microsoft YaHei"/>
          <w:b/>
          <w:color w:val="222222"/>
          <w:sz w:val="21"/>
        </w:rPr>
        <w:t>结果无法复现：</w:t>
      </w:r>
      <w:r>
        <w:rPr>
          <w:rFonts w:ascii="Microsoft YaHei" w:hAnsi="Microsoft YaHei" w:eastAsia="Microsoft YaHei"/>
          <w:b w:val="0"/>
          <w:color w:val="222222"/>
          <w:sz w:val="21"/>
        </w:rPr>
        <w:t>记录依赖版本、随机种子、数据版本/哈希、处理步骤和输出文件名。</w:t>
      </w:r>
    </w:p>
    <w:p>
      <w:pPr>
        <w:pStyle w:val="Heading2"/>
        <w:keepNext/>
        <w:spacing w:before="200" w:after="100"/>
      </w:pPr>
      <w:r>
        <w:rPr>
          <w:rFonts w:ascii="Microsoft YaHei" w:hAnsi="Microsoft YaHei" w:eastAsia="Microsoft YaHei"/>
          <w:b/>
          <w:color w:val="1F4250"/>
          <w:sz w:val="26"/>
        </w:rPr>
        <w:t>评分量规（100分）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474"/>
        <w:gridCol w:w="4535"/>
        <w:gridCol w:w="3781"/>
      </w:tblGrid>
      <w:tr>
        <w:trPr>
          <w:tblHeader w:val="true"/>
          <w:cantSplit/>
        </w:trPr>
        <w:tc>
          <w:tcPr>
            <w:tcW w:type="dxa" w:w="1474"/>
            <w:vAlign w:val="center"/>
            <w:shd w:fill="147D8A"/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pPr>
              <w:spacing w:after="0"/>
            </w:pPr>
            <w:r>
              <w:rPr>
                <w:b/>
                <w:color w:val="FFFFFF"/>
              </w:rPr>
            </w:r>
            <w:r>
              <w:rPr>
                <w:rFonts w:ascii="Microsoft YaHei" w:hAnsi="Microsoft YaHei" w:eastAsia="Microsoft YaHei"/>
                <w:b/>
                <w:color w:val="FFFFFF"/>
                <w:sz w:val="18"/>
              </w:rPr>
              <w:t>维度</w:t>
            </w:r>
          </w:p>
        </w:tc>
        <w:tc>
          <w:tcPr>
            <w:tcW w:type="dxa" w:w="4535"/>
            <w:vAlign w:val="center"/>
            <w:shd w:fill="147D8A"/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pPr>
              <w:spacing w:after="0"/>
            </w:pPr>
            <w:r>
              <w:rPr>
                <w:b/>
                <w:color w:val="FFFFFF"/>
              </w:rPr>
            </w:r>
            <w:r>
              <w:rPr>
                <w:rFonts w:ascii="Microsoft YaHei" w:hAnsi="Microsoft YaHei" w:eastAsia="Microsoft YaHei"/>
                <w:b/>
                <w:color w:val="FFFFFF"/>
                <w:sz w:val="18"/>
              </w:rPr>
              <w:t>分值</w:t>
            </w:r>
          </w:p>
        </w:tc>
        <w:tc>
          <w:tcPr>
            <w:tcW w:type="dxa" w:w="3781"/>
            <w:vAlign w:val="center"/>
            <w:shd w:fill="147D8A"/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pPr>
              <w:spacing w:after="0"/>
            </w:pPr>
            <w:r>
              <w:rPr>
                <w:b/>
                <w:color w:val="FFFFFF"/>
              </w:rPr>
            </w:r>
            <w:r>
              <w:rPr>
                <w:rFonts w:ascii="Microsoft YaHei" w:hAnsi="Microsoft YaHei" w:eastAsia="Microsoft YaHei"/>
                <w:b/>
                <w:color w:val="FFFFFF"/>
                <w:sz w:val="18"/>
              </w:rPr>
              <w:t>可核验证据</w:t>
            </w:r>
          </w:p>
        </w:tc>
      </w:tr>
      <w:tr>
        <w:trPr>
          <w:cantSplit/>
        </w:trPr>
        <w:tc>
          <w:tcPr>
            <w:tcW w:type="dxa" w:w="1474"/>
            <w:vAlign w:val="center"/>
            <w:tcMar>
              <w:top w:w="70" w:type="dxa"/>
              <w:start w:w="90" w:type="dxa"/>
              <w:bottom w:w="70" w:type="dxa"/>
              <w:end w:w="90" w:type="dxa"/>
            </w:tcMar>
            <w:shd w:fill="F2F8F9"/>
          </w:tcPr>
          <w:p>
            <w:pPr>
              <w:spacing w:after="0"/>
            </w:pPr>
            <w:r/>
            <w:r>
              <w:rPr>
                <w:rFonts w:ascii="Microsoft YaHei" w:hAnsi="Microsoft YaHei" w:eastAsia="Microsoft YaHei"/>
                <w:b w:val="0"/>
                <w:color w:val="1F4E5F"/>
                <w:sz w:val="18"/>
              </w:rPr>
              <w:t>数据来源、状态与元数据</w:t>
            </w:r>
          </w:p>
        </w:tc>
        <w:tc>
          <w:tcPr>
            <w:tcW w:type="dxa" w:w="4535"/>
            <w:vAlign w:val="center"/>
            <w:tcMar>
              <w:top w:w="70" w:type="dxa"/>
              <w:start w:w="90" w:type="dxa"/>
              <w:bottom w:w="70" w:type="dxa"/>
              <w:end w:w="90" w:type="dxa"/>
            </w:tcMar>
            <w:shd w:fill="F2F8F9"/>
          </w:tcPr>
          <w:p>
            <w:pPr>
              <w:spacing w:after="0"/>
            </w:pPr>
            <w:r/>
            <w:r>
              <w:rPr>
                <w:rFonts w:ascii="Microsoft YaHei" w:hAnsi="Microsoft YaHei" w:eastAsia="Microsoft YaHei"/>
                <w:b w:val="0"/>
                <w:color w:val="1F4E5F"/>
                <w:sz w:val="18"/>
              </w:rPr>
              <w:t>20</w:t>
            </w:r>
          </w:p>
        </w:tc>
        <w:tc>
          <w:tcPr>
            <w:tcW w:type="dxa" w:w="3781"/>
            <w:vAlign w:val="center"/>
            <w:tcMar>
              <w:top w:w="70" w:type="dxa"/>
              <w:start w:w="90" w:type="dxa"/>
              <w:bottom w:w="70" w:type="dxa"/>
              <w:end w:w="90" w:type="dxa"/>
            </w:tcMar>
            <w:shd w:fill="F2F8F9"/>
          </w:tcPr>
          <w:p>
            <w:pPr>
              <w:spacing w:after="0"/>
            </w:pPr>
            <w:r/>
            <w:r>
              <w:rPr>
                <w:rFonts w:ascii="Microsoft YaHei" w:hAnsi="Microsoft YaHei" w:eastAsia="Microsoft YaHei"/>
                <w:b w:val="0"/>
                <w:color w:val="1F4E5F"/>
                <w:sz w:val="18"/>
              </w:rPr>
              <w:t>官方入口、版本/模拟状态、空间时间支持、CRS/单位/NoData记录</w:t>
            </w:r>
          </w:p>
        </w:tc>
      </w:tr>
      <w:tr>
        <w:trPr>
          <w:cantSplit/>
        </w:trPr>
        <w:tc>
          <w:tcPr>
            <w:tcW w:type="dxa" w:w="1474"/>
            <w:vAlign w:val="center"/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pPr>
              <w:spacing w:after="0"/>
            </w:pPr>
            <w:r/>
            <w:r>
              <w:rPr>
                <w:rFonts w:ascii="Microsoft YaHei" w:hAnsi="Microsoft YaHei" w:eastAsia="Microsoft YaHei"/>
                <w:b w:val="0"/>
                <w:color w:val="1F4E5F"/>
                <w:sz w:val="18"/>
              </w:rPr>
              <w:t>数据质检与预处理</w:t>
            </w:r>
          </w:p>
        </w:tc>
        <w:tc>
          <w:tcPr>
            <w:tcW w:type="dxa" w:w="4535"/>
            <w:vAlign w:val="center"/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pPr>
              <w:spacing w:after="0"/>
            </w:pPr>
            <w:r/>
            <w:r>
              <w:rPr>
                <w:rFonts w:ascii="Microsoft YaHei" w:hAnsi="Microsoft YaHei" w:eastAsia="Microsoft YaHei"/>
                <w:b w:val="0"/>
                <w:color w:val="1F4E5F"/>
                <w:sz w:val="18"/>
              </w:rPr>
              <w:t>20</w:t>
            </w:r>
          </w:p>
        </w:tc>
        <w:tc>
          <w:tcPr>
            <w:tcW w:type="dxa" w:w="3781"/>
            <w:vAlign w:val="center"/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pPr>
              <w:spacing w:after="0"/>
            </w:pPr>
            <w:r/>
            <w:r>
              <w:rPr>
                <w:rFonts w:ascii="Microsoft YaHei" w:hAnsi="Microsoft YaHei" w:eastAsia="Microsoft YaHei"/>
                <w:b w:val="0"/>
                <w:color w:val="1F4E5F"/>
                <w:sz w:val="18"/>
              </w:rPr>
              <w:t>输入形状、有效样本、掩膜和数据限制说明</w:t>
            </w:r>
          </w:p>
        </w:tc>
      </w:tr>
      <w:tr>
        <w:trPr>
          <w:cantSplit/>
        </w:trPr>
        <w:tc>
          <w:tcPr>
            <w:tcW w:type="dxa" w:w="1474"/>
            <w:vAlign w:val="center"/>
            <w:tcMar>
              <w:top w:w="70" w:type="dxa"/>
              <w:start w:w="90" w:type="dxa"/>
              <w:bottom w:w="70" w:type="dxa"/>
              <w:end w:w="90" w:type="dxa"/>
            </w:tcMar>
            <w:shd w:fill="F2F8F9"/>
          </w:tcPr>
          <w:p>
            <w:pPr>
              <w:spacing w:after="0"/>
            </w:pPr>
            <w:r/>
            <w:r>
              <w:rPr>
                <w:rFonts w:ascii="Microsoft YaHei" w:hAnsi="Microsoft YaHei" w:eastAsia="Microsoft YaHei"/>
                <w:b w:val="0"/>
                <w:color w:val="1F4E5F"/>
                <w:sz w:val="18"/>
              </w:rPr>
              <w:t>核心算法与参数解释</w:t>
            </w:r>
          </w:p>
        </w:tc>
        <w:tc>
          <w:tcPr>
            <w:tcW w:type="dxa" w:w="4535"/>
            <w:vAlign w:val="center"/>
            <w:tcMar>
              <w:top w:w="70" w:type="dxa"/>
              <w:start w:w="90" w:type="dxa"/>
              <w:bottom w:w="70" w:type="dxa"/>
              <w:end w:w="90" w:type="dxa"/>
            </w:tcMar>
            <w:shd w:fill="F2F8F9"/>
          </w:tcPr>
          <w:p>
            <w:pPr>
              <w:spacing w:after="0"/>
            </w:pPr>
            <w:r/>
            <w:r>
              <w:rPr>
                <w:rFonts w:ascii="Microsoft YaHei" w:hAnsi="Microsoft YaHei" w:eastAsia="Microsoft YaHei"/>
                <w:b w:val="0"/>
                <w:color w:val="1F4E5F"/>
                <w:sz w:val="18"/>
              </w:rPr>
              <w:t>25</w:t>
            </w:r>
          </w:p>
        </w:tc>
        <w:tc>
          <w:tcPr>
            <w:tcW w:type="dxa" w:w="3781"/>
            <w:vAlign w:val="center"/>
            <w:tcMar>
              <w:top w:w="70" w:type="dxa"/>
              <w:start w:w="90" w:type="dxa"/>
              <w:bottom w:w="70" w:type="dxa"/>
              <w:end w:w="90" w:type="dxa"/>
            </w:tcMar>
            <w:shd w:fill="F2F8F9"/>
          </w:tcPr>
          <w:p>
            <w:pPr>
              <w:spacing w:after="0"/>
            </w:pPr>
            <w:r/>
            <w:r>
              <w:rPr>
                <w:rFonts w:ascii="Consolas" w:hAnsi="Consolas" w:eastAsia="Microsoft YaHei"/>
                <w:b w:val="0"/>
                <w:color w:val="174A5B"/>
                <w:sz w:val="17"/>
                <w:shd w:fill="EAF2F5"/>
              </w:rPr>
              <w:t>percentile_threshold, heatwave_mask, longest_run</w:t>
            </w:r>
            <w:r>
              <w:rPr>
                <w:rFonts w:ascii="Microsoft YaHei" w:hAnsi="Microsoft YaHei" w:eastAsia="Microsoft YaHei"/>
                <w:b w:val="0"/>
                <w:color w:val="1F4E5F"/>
                <w:sz w:val="18"/>
              </w:rPr>
              <w:t xml:space="preserve"> 对应代码、参数表和结果表</w:t>
            </w:r>
          </w:p>
        </w:tc>
      </w:tr>
      <w:tr>
        <w:trPr>
          <w:cantSplit/>
        </w:trPr>
        <w:tc>
          <w:tcPr>
            <w:tcW w:type="dxa" w:w="1474"/>
            <w:vAlign w:val="center"/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pPr>
              <w:spacing w:after="0"/>
            </w:pPr>
            <w:r/>
            <w:r>
              <w:rPr>
                <w:rFonts w:ascii="Microsoft YaHei" w:hAnsi="Microsoft YaHei" w:eastAsia="Microsoft YaHei"/>
                <w:b w:val="0"/>
                <w:color w:val="1F4E5F"/>
                <w:sz w:val="18"/>
              </w:rPr>
              <w:t>GIS图件、验证与敏感性</w:t>
            </w:r>
          </w:p>
        </w:tc>
        <w:tc>
          <w:tcPr>
            <w:tcW w:type="dxa" w:w="4535"/>
            <w:vAlign w:val="center"/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pPr>
              <w:spacing w:after="0"/>
            </w:pPr>
            <w:r/>
            <w:r>
              <w:rPr>
                <w:rFonts w:ascii="Microsoft YaHei" w:hAnsi="Microsoft YaHei" w:eastAsia="Microsoft YaHei"/>
                <w:b w:val="0"/>
                <w:color w:val="1F4E5F"/>
                <w:sz w:val="18"/>
              </w:rPr>
              <w:t>20</w:t>
            </w:r>
          </w:p>
        </w:tc>
        <w:tc>
          <w:tcPr>
            <w:tcW w:type="dxa" w:w="3781"/>
            <w:vAlign w:val="center"/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pPr>
              <w:spacing w:after="0"/>
            </w:pPr>
            <w:r/>
            <w:r>
              <w:rPr>
                <w:rFonts w:ascii="Microsoft YaHei" w:hAnsi="Microsoft YaHei" w:eastAsia="Microsoft YaHei"/>
                <w:b w:val="0"/>
                <w:color w:val="1F4E5F"/>
                <w:sz w:val="18"/>
              </w:rPr>
              <w:t>图件追溯表、图例/单位/范围、至少一项敏感性分析</w:t>
            </w:r>
          </w:p>
        </w:tc>
      </w:tr>
      <w:tr>
        <w:trPr>
          <w:cantSplit/>
        </w:trPr>
        <w:tc>
          <w:tcPr>
            <w:tcW w:type="dxa" w:w="1474"/>
            <w:vAlign w:val="center"/>
            <w:tcMar>
              <w:top w:w="70" w:type="dxa"/>
              <w:start w:w="90" w:type="dxa"/>
              <w:bottom w:w="70" w:type="dxa"/>
              <w:end w:w="90" w:type="dxa"/>
            </w:tcMar>
            <w:shd w:fill="F2F8F9"/>
          </w:tcPr>
          <w:p>
            <w:pPr>
              <w:spacing w:after="0"/>
            </w:pPr>
            <w:r/>
            <w:r>
              <w:rPr>
                <w:rFonts w:ascii="Microsoft YaHei" w:hAnsi="Microsoft YaHei" w:eastAsia="Microsoft YaHei"/>
                <w:b w:val="0"/>
                <w:color w:val="1F4E5F"/>
                <w:sz w:val="18"/>
              </w:rPr>
              <w:t>可复现性与解释边界</w:t>
            </w:r>
          </w:p>
        </w:tc>
        <w:tc>
          <w:tcPr>
            <w:tcW w:type="dxa" w:w="4535"/>
            <w:vAlign w:val="center"/>
            <w:tcMar>
              <w:top w:w="70" w:type="dxa"/>
              <w:start w:w="90" w:type="dxa"/>
              <w:bottom w:w="70" w:type="dxa"/>
              <w:end w:w="90" w:type="dxa"/>
            </w:tcMar>
            <w:shd w:fill="F2F8F9"/>
          </w:tcPr>
          <w:p>
            <w:pPr>
              <w:spacing w:after="0"/>
            </w:pPr>
            <w:r/>
            <w:r>
              <w:rPr>
                <w:rFonts w:ascii="Microsoft YaHei" w:hAnsi="Microsoft YaHei" w:eastAsia="Microsoft YaHei"/>
                <w:b w:val="0"/>
                <w:color w:val="1F4E5F"/>
                <w:sz w:val="18"/>
              </w:rPr>
              <w:t>15</w:t>
            </w:r>
          </w:p>
        </w:tc>
        <w:tc>
          <w:tcPr>
            <w:tcW w:type="dxa" w:w="3781"/>
            <w:vAlign w:val="center"/>
            <w:tcMar>
              <w:top w:w="70" w:type="dxa"/>
              <w:start w:w="90" w:type="dxa"/>
              <w:bottom w:w="70" w:type="dxa"/>
              <w:end w:w="90" w:type="dxa"/>
            </w:tcMar>
            <w:shd w:fill="F2F8F9"/>
          </w:tcPr>
          <w:p>
            <w:pPr>
              <w:spacing w:after="0"/>
            </w:pPr>
            <w:r/>
            <w:r>
              <w:rPr>
                <w:rFonts w:ascii="Microsoft YaHei" w:hAnsi="Microsoft YaHei" w:eastAsia="Microsoft YaHei"/>
                <w:b w:val="0"/>
                <w:color w:val="1F4E5F"/>
                <w:sz w:val="18"/>
              </w:rPr>
              <w:t>环境/种子/来源记录、合成与真实数据区分、限制说明</w:t>
            </w:r>
          </w:p>
        </w:tc>
      </w:tr>
      <w:tr>
        <w:trPr>
          <w:cantSplit/>
        </w:trPr>
        <w:tc>
          <w:tcPr>
            <w:tcW w:type="dxa" w:w="1474"/>
            <w:vAlign w:val="center"/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pPr>
              <w:spacing w:after="0"/>
            </w:pPr>
            <w:r/>
            <w:r>
              <w:rPr>
                <w:rFonts w:ascii="Microsoft YaHei" w:hAnsi="Microsoft YaHei" w:eastAsia="Microsoft YaHei"/>
                <w:b/>
                <w:color w:val="1F4E5F"/>
                <w:sz w:val="18"/>
              </w:rPr>
              <w:t>合计</w:t>
            </w:r>
          </w:p>
        </w:tc>
        <w:tc>
          <w:tcPr>
            <w:tcW w:type="dxa" w:w="4535"/>
            <w:vAlign w:val="center"/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pPr>
              <w:spacing w:after="0"/>
            </w:pPr>
            <w:r/>
            <w:r>
              <w:rPr>
                <w:rFonts w:ascii="Microsoft YaHei" w:hAnsi="Microsoft YaHei" w:eastAsia="Microsoft YaHei"/>
                <w:b/>
                <w:color w:val="1F4E5F"/>
                <w:sz w:val="18"/>
              </w:rPr>
              <w:t>100</w:t>
            </w:r>
          </w:p>
        </w:tc>
        <w:tc>
          <w:tcPr>
            <w:tcW w:type="dxa" w:w="3781"/>
            <w:vAlign w:val="center"/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pPr>
              <w:spacing w:after="0"/>
            </w:pPr>
            <w:r/>
          </w:p>
        </w:tc>
      </w:tr>
    </w:tbl>
    <w:p>
      <w:pPr>
        <w:spacing w:after="20"/>
      </w:pPr>
    </w:p>
    <w:p>
      <w:pPr>
        <w:pStyle w:val="Heading2"/>
        <w:keepNext/>
        <w:spacing w:before="200" w:after="100"/>
      </w:pPr>
      <w:r>
        <w:rPr>
          <w:rFonts w:ascii="Microsoft YaHei" w:hAnsi="Microsoft YaHei" w:eastAsia="Microsoft YaHei"/>
          <w:b/>
          <w:color w:val="1F4250"/>
          <w:sz w:val="26"/>
        </w:rPr>
        <w:t>论文与解释边界</w:t>
      </w:r>
    </w:p>
    <w:p>
      <w:pPr>
        <w:spacing w:line="288" w:lineRule="auto" w:after="100"/>
      </w:pPr>
      <w:r>
        <w:rPr>
          <w:rFonts w:ascii="Microsoft YaHei" w:hAnsi="Microsoft YaHei" w:eastAsia="Microsoft YaHei"/>
          <w:b w:val="0"/>
          <w:color w:val="222222"/>
          <w:sz w:val="21"/>
        </w:rPr>
        <w:t xml:space="preserve">核心论文和公开全文入口见 </w:t>
      </w:r>
      <w:r>
        <w:rPr>
          <w:rFonts w:ascii="Consolas" w:hAnsi="Consolas" w:eastAsia="Microsoft YaHei"/>
          <w:b w:val="0"/>
          <w:color w:val="174A5B"/>
          <w:sz w:val="20"/>
          <w:shd w:fill="EAF2F5"/>
        </w:rPr>
        <w:t>references/论文与案例对应.md</w:t>
      </w:r>
      <w:r>
        <w:rPr>
          <w:rFonts w:ascii="Microsoft YaHei" w:hAnsi="Microsoft YaHei" w:eastAsia="Microsoft YaHei"/>
          <w:b w:val="0"/>
          <w:color w:val="222222"/>
          <w:sz w:val="21"/>
        </w:rPr>
        <w:t>。论文只支撑方法或数据产品背景，不代表本案例复现论文的研究区、数据版本或数值结果。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1077" w:right="1225" w:bottom="1020" w:left="1225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Microsoft YaHei" w:hAnsi="Microsoft YaHei" w:eastAsia="Microsoft YaHei"/>
        <w:b w:val="0"/>
        <w:color w:val="6B8790"/>
        <w:sz w:val="17"/>
      </w:rPr>
      <w:t xml:space="preserve">第 </w:t>
    </w:r>
    <w:fldSimple w:instr="PAGE">
      <w:r>
        <w:t>1</w:t>
      </w:r>
    </w:fldSimple>
    <w:r>
      <w:rPr>
        <w:rFonts w:ascii="Microsoft YaHei" w:hAnsi="Microsoft YaHei" w:eastAsia="Microsoft YaHei"/>
        <w:b w:val="0"/>
        <w:color w:val="6B8790"/>
        <w:sz w:val="17"/>
      </w:rPr>
      <w:t xml:space="preserve"> 页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spacing w:after="80"/>
      <w:jc w:val="right"/>
      <w:pBdr>
        <w:bottom w:val="single" w:sz="4" w:space="3" w:color="C7D9DE"/>
      </w:pBdr>
    </w:pPr>
    <w:r>
      <w:rPr>
        <w:rFonts w:ascii="Microsoft YaHei" w:hAnsi="Microsoft YaHei" w:eastAsia="Microsoft YaHei"/>
        <w:b w:val="0"/>
        <w:color w:val="6B8790"/>
        <w:sz w:val="17"/>
      </w:rPr>
      <w:t>GIS统计分析实训案例库  ·  实验实训方案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Microsoft YaHei" w:hAnsi="Microsoft YaHei" w:eastAsia="Microsoft YaHe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0F5B6C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0F5B6C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0F5B6C"/>
      <w:sz w:val="23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实验实训方案｜03 ERA5-Land热浪识别与空间分布</dc:title>
  <dc:subject>GIS统计分析实训案例库</dc:subject>
  <dc:creator>GIS统计分析实训案例库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